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7056"/>
        <w:gridCol w:w="3024"/>
      </w:tblGrid>
      <w:tr>
        <w:tc>
          <w:tcPr>
            <w:tcW w:type="dxa" w:w="5162"/>
          </w:tcPr>
          <w:p>
            <w:r>
              <w:drawing>
                <wp:inline xmlns:a="http://schemas.openxmlformats.org/drawingml/2006/main" xmlns:pic="http://schemas.openxmlformats.org/drawingml/2006/picture">
                  <wp:extent cx="1691640" cy="1025527"/>
                  <wp:docPr id="1" name="Picture 1"/>
                  <wp:cNvGraphicFramePr>
                    <a:graphicFrameLocks noChangeAspect="1"/>
                  </wp:cNvGraphicFramePr>
                  <a:graphic>
                    <a:graphicData uri="http://schemas.openxmlformats.org/drawingml/2006/picture">
                      <pic:pic>
                        <pic:nvPicPr>
                          <pic:cNvPr id="0" name="CWP Logo 090217(1).jpg"/>
                          <pic:cNvPicPr/>
                        </pic:nvPicPr>
                        <pic:blipFill>
                          <a:blip r:embed="rId13"/>
                          <a:stretch>
                            <a:fillRect/>
                          </a:stretch>
                        </pic:blipFill>
                        <pic:spPr>
                          <a:xfrm>
                            <a:off x="0" y="0"/>
                            <a:ext cx="1691640" cy="1025527"/>
                          </a:xfrm>
                          <a:prstGeom prst="rect"/>
                        </pic:spPr>
                      </pic:pic>
                    </a:graphicData>
                  </a:graphic>
                </wp:inline>
              </w:drawing>
            </w:r>
          </w:p>
          <w:p>
            <w:r>
              <w:rPr>
                <w:b/>
                <w:color w:val="263348"/>
                <w:sz w:val="20"/>
              </w:rPr>
              <w:t>CW Projects Integrated Services Limited</w:t>
            </w:r>
          </w:p>
          <w:p>
            <w:pPr>
              <w:spacing w:after="0"/>
            </w:pPr>
            <w:r>
              <w:rPr>
                <w:color w:val="65758B"/>
                <w:sz w:val="16"/>
              </w:rPr>
              <w:t>46A Commercial Street</w:t>
            </w:r>
          </w:p>
          <w:p>
            <w:pPr>
              <w:spacing w:after="0"/>
            </w:pPr>
            <w:r>
              <w:rPr>
                <w:color w:val="65758B"/>
                <w:sz w:val="16"/>
              </w:rPr>
              <w:t>Rothwell</w:t>
            </w:r>
          </w:p>
          <w:p>
            <w:pPr>
              <w:spacing w:after="0"/>
            </w:pPr>
            <w:r>
              <w:rPr>
                <w:color w:val="65758B"/>
                <w:sz w:val="16"/>
              </w:rPr>
              <w:t>Leeds</w:t>
            </w:r>
          </w:p>
          <w:p>
            <w:pPr>
              <w:spacing w:after="0"/>
            </w:pPr>
            <w:r>
              <w:rPr>
                <w:color w:val="65758B"/>
                <w:sz w:val="16"/>
              </w:rPr>
              <w:t>LS26 0AW</w:t>
            </w:r>
          </w:p>
          <w:p>
            <w:pPr>
              <w:spacing w:after="0"/>
            </w:pPr>
            <w:r>
              <w:rPr>
                <w:color w:val="65758B"/>
                <w:sz w:val="16"/>
              </w:rPr>
              <w:t>Tel: 01132821001</w:t>
            </w:r>
          </w:p>
        </w:tc>
        <w:tc>
          <w:tcPr>
            <w:tcW w:type="dxa" w:w="5162"/>
          </w:tcPr>
          <w:p>
            <w:pPr>
              <w:jc w:val="right"/>
            </w:pPr>
            <w:r>
              <w:rPr>
                <w:color w:val="65758B"/>
                <w:sz w:val="16"/>
              </w:rPr>
              <w:t>Document Ref</w:t>
              <w:br/>
            </w:r>
            <w:r>
              <w:rPr>
                <w:b/>
                <w:color w:val="000000"/>
                <w:sz w:val="20"/>
              </w:rPr>
              <w:t>RAMS-2026-SCAR-001</w:t>
            </w:r>
          </w:p>
        </w:tc>
      </w:tr>
    </w:tbl>
    <w:p>
      <w:pPr>
        <w:spacing w:before="40" w:after="160"/>
        <w:pBdr>
          <w:bottom w:val="single" w:sz="16" w:color="000000"/>
        </w:pBdr>
      </w:pPr>
    </w:p>
    <w:p>
      <w:pPr>
        <w:spacing w:before="400"/>
      </w:pPr>
      <w:r>
        <w:rPr>
          <w:b/>
          <w:color w:val="000000"/>
          <w:sz w:val="48"/>
        </w:rPr>
        <w:t>Risk Assessment &amp; Method Statement</w:t>
      </w:r>
    </w:p>
    <w:p>
      <w:r>
        <w:rPr>
          <w:color w:val="65758B"/>
          <w:sz w:val="32"/>
        </w:rPr>
        <w:t>External Façade Masonry Repairs</w:t>
      </w:r>
    </w:p>
    <w:tbl>
      <w:tblPr>
        <w:tblW w:type="auto" w:w="0"/>
        <w:jc w:val="center"/>
        <w:tblLayout w:type="fixed"/>
        <w:tblLook w:firstColumn="1" w:firstRow="1" w:lastColumn="0" w:lastRow="0" w:noHBand="0" w:noVBand="1" w:val="04A0"/>
      </w:tblPr>
      <w:tblGrid>
        <w:gridCol w:w="5162"/>
        <w:gridCol w:w="5162"/>
      </w:tblGrid>
      <w:tr>
        <w:tc>
          <w:tcPr>
            <w:tcW w:type="dxa" w:w="4896"/>
          </w:tcPr>
          <w:p>
            <w:r/>
            <w:r>
              <w:rPr>
                <w:color w:val="65758B"/>
                <w:sz w:val="15"/>
              </w:rPr>
              <w:t>PROJECT</w:t>
            </w:r>
          </w:p>
          <w:p>
            <w:r>
              <w:rPr>
                <w:b/>
                <w:color w:val="263348"/>
                <w:sz w:val="20"/>
              </w:rPr>
              <w:t>WATERSTONES - Scarborough - Fallen Masonry</w:t>
            </w:r>
          </w:p>
        </w:tc>
        <w:tc>
          <w:tcPr>
            <w:tcW w:type="dxa" w:w="4896"/>
          </w:tcPr>
          <w:p>
            <w:r/>
            <w:r>
              <w:rPr>
                <w:color w:val="65758B"/>
                <w:sz w:val="15"/>
              </w:rPr>
              <w:t>LOCATION</w:t>
            </w:r>
          </w:p>
          <w:p>
            <w:r>
              <w:rPr>
                <w:b/>
                <w:color w:val="263348"/>
                <w:sz w:val="20"/>
              </w:rPr>
              <w:t>Waterstones, Scarborough</w:t>
            </w:r>
          </w:p>
        </w:tc>
      </w:tr>
      <w:tr>
        <w:tc>
          <w:tcPr>
            <w:tcW w:type="dxa" w:w="4896"/>
          </w:tcPr>
          <w:p>
            <w:r/>
            <w:r>
              <w:rPr>
                <w:color w:val="65758B"/>
                <w:sz w:val="15"/>
              </w:rPr>
              <w:t>VERSION</w:t>
            </w:r>
          </w:p>
          <w:p>
            <w:r>
              <w:rPr>
                <w:b/>
                <w:color w:val="263348"/>
                <w:sz w:val="20"/>
              </w:rPr>
              <w:t>1.0</w:t>
            </w:r>
          </w:p>
        </w:tc>
        <w:tc>
          <w:tcPr>
            <w:tcW w:type="dxa" w:w="4896"/>
          </w:tcPr>
          <w:p>
            <w:r/>
            <w:r>
              <w:rPr>
                <w:color w:val="65758B"/>
                <w:sz w:val="15"/>
              </w:rPr>
              <w:t>REVIEW DATE</w:t>
            </w:r>
          </w:p>
          <w:p>
            <w:r>
              <w:rPr>
                <w:b/>
                <w:color w:val="263348"/>
                <w:sz w:val="20"/>
              </w:rPr>
              <w:t>14 Sept 2027</w:t>
            </w:r>
          </w:p>
        </w:tc>
      </w:tr>
      <w:tr>
        <w:tc>
          <w:tcPr>
            <w:tcW w:type="dxa" w:w="4896"/>
          </w:tcPr>
          <w:p>
            <w:r/>
            <w:r>
              <w:rPr>
                <w:color w:val="65758B"/>
                <w:sz w:val="15"/>
              </w:rPr>
              <w:t>INDUSTRY</w:t>
            </w:r>
          </w:p>
          <w:p>
            <w:r>
              <w:rPr>
                <w:b/>
                <w:color w:val="263348"/>
                <w:sz w:val="20"/>
              </w:rPr>
              <w:t>Construction</w:t>
            </w:r>
          </w:p>
        </w:tc>
        <w:tc>
          <w:tcPr>
            <w:tcW w:type="dxa" w:w="4896"/>
          </w:tcPr>
          <w:p>
            <w:r/>
            <w:r>
              <w:rPr>
                <w:color w:val="65758B"/>
                <w:sz w:val="15"/>
              </w:rPr>
              <w:t>PREPARED BY</w:t>
            </w:r>
          </w:p>
          <w:p>
            <w:r>
              <w:rPr>
                <w:b/>
                <w:color w:val="263348"/>
                <w:sz w:val="20"/>
              </w:rPr>
              <w:t>Mark Cowling</w:t>
            </w:r>
          </w:p>
        </w:tc>
      </w:tr>
      <w:tr>
        <w:tc>
          <w:tcPr>
            <w:tcW w:type="dxa" w:w="4896"/>
          </w:tcPr>
          <w:p>
            <w:r/>
            <w:r>
              <w:rPr>
                <w:color w:val="65758B"/>
                <w:sz w:val="15"/>
              </w:rPr>
              <w:t>PLANNED START DATE</w:t>
            </w:r>
          </w:p>
          <w:p>
            <w:r>
              <w:rPr>
                <w:b/>
                <w:color w:val="263348"/>
                <w:sz w:val="20"/>
              </w:rPr>
              <w:t>14 Sept 2026</w:t>
            </w:r>
          </w:p>
        </w:tc>
        <w:tc>
          <w:tcPr>
            <w:tcW w:type="dxa" w:w="4896"/>
          </w:tcPr>
          <w:p>
            <w:r/>
            <w:r>
              <w:rPr>
                <w:color w:val="65758B"/>
                <w:sz w:val="15"/>
              </w:rPr>
              <w:t>DURATION OF WORKS</w:t>
            </w:r>
          </w:p>
          <w:p>
            <w:r>
              <w:rPr>
                <w:b/>
                <w:color w:val="263348"/>
                <w:sz w:val="20"/>
              </w:rPr>
              <w:t>1 day</w:t>
            </w:r>
          </w:p>
        </w:tc>
      </w:tr>
    </w:tbl>
    <w:p/>
    <w:p>
      <w:r>
        <w:rPr>
          <w:color w:val="65758B"/>
          <w:sz w:val="15"/>
        </w:rPr>
        <w:t>CLIENT</w:t>
        <w:br/>
        <w:t>Waterstones</w:t>
      </w:r>
      <w:r>
        <w:rPr>
          <w:color w:val="65758B"/>
          <w:sz w:val="15"/>
        </w:rPr>
        <w:br/>
        <w:t>DATE CREATED</w:t>
        <w:br/>
        <w:t>14 Sept 2026</w:t>
      </w:r>
    </w:p>
    <w:p>
      <w:r>
        <w:br w:type="page"/>
      </w:r>
    </w:p>
    <w:tbl>
      <w:tblPr>
        <w:tblW w:type="auto" w:w="0"/>
        <w:tblLayout w:type="fixed"/>
        <w:tblLook w:firstColumn="1" w:firstRow="1" w:lastColumn="0" w:lastRow="0" w:noHBand="0" w:noVBand="1" w:val="04A0"/>
      </w:tblPr>
      <w:tblGrid>
        <w:gridCol w:w="101"/>
        <w:gridCol w:w="10080"/>
      </w:tblGrid>
      <w:tr>
        <w:tc>
          <w:tcPr>
            <w:tcW w:type="dxa" w:w="101"/>
            <w:shd w:fill="000000"/>
          </w:tcPr>
          <w:p/>
        </w:tc>
        <w:tc>
          <w:tcPr>
            <w:tcW w:type="dxa" w:w="5162"/>
            <w:vAlign w:val="center"/>
          </w:tcPr>
          <w:p>
            <w:pPr>
              <w:spacing w:after="0"/>
            </w:pPr>
            <w:r/>
            <w:r>
              <w:rPr>
                <w:rFonts w:ascii="Arial" w:hAnsi="Arial"/>
                <w:b/>
                <w:color w:val="000000"/>
                <w:sz w:val="28"/>
              </w:rPr>
              <w:t>Risk Summary Dashboard</w:t>
            </w:r>
          </w:p>
        </w:tc>
      </w:tr>
    </w:tbl>
    <w:p>
      <w:pPr>
        <w:spacing w:after="0"/>
      </w:pPr>
    </w:p>
    <w:tbl>
      <w:tblPr>
        <w:tblStyle w:val="TableGrid"/>
        <w:tblW w:type="auto" w:w="0"/>
        <w:tblLook w:firstColumn="1" w:firstRow="1" w:lastColumn="0" w:lastRow="0" w:noHBand="0" w:noVBand="1" w:val="04A0"/>
      </w:tblPr>
      <w:tblGrid>
        <w:gridCol w:w="2581"/>
        <w:gridCol w:w="2581"/>
        <w:gridCol w:w="2581"/>
        <w:gridCol w:w="2581"/>
      </w:tblGrid>
      <w:tr>
        <w:tc>
          <w:tcPr>
            <w:tcW w:type="dxa" w:w="2581"/>
            <w:vAlign w:val="center"/>
          </w:tcPr>
          <w:p>
            <w:pPr>
              <w:spacing w:after="0"/>
              <w:jc w:val="center"/>
            </w:pPr>
            <w:r/>
            <w:r>
              <w:rPr>
                <w:rFonts w:ascii="Arial" w:hAnsi="Arial"/>
                <w:b/>
                <w:color w:val="000000"/>
                <w:sz w:val="18"/>
              </w:rPr>
              <w:t>11</w:t>
              <w:br/>
              <w:t>TOTAL HAZARDS</w:t>
            </w:r>
          </w:p>
        </w:tc>
        <w:tc>
          <w:tcPr>
            <w:tcW w:type="dxa" w:w="2581"/>
            <w:vAlign w:val="center"/>
          </w:tcPr>
          <w:p>
            <w:pPr>
              <w:spacing w:after="0"/>
              <w:jc w:val="center"/>
            </w:pPr>
            <w:r/>
            <w:r>
              <w:rPr>
                <w:rFonts w:ascii="Arial" w:hAnsi="Arial"/>
                <w:b/>
                <w:color w:val="20B36A"/>
                <w:sz w:val="18"/>
              </w:rPr>
              <w:t>11</w:t>
              <w:br/>
              <w:t>LOW RISK</w:t>
            </w:r>
          </w:p>
        </w:tc>
        <w:tc>
          <w:tcPr>
            <w:tcW w:type="dxa" w:w="2581"/>
            <w:vAlign w:val="center"/>
          </w:tcPr>
          <w:p>
            <w:pPr>
              <w:spacing w:after="0"/>
              <w:jc w:val="center"/>
            </w:pPr>
            <w:r/>
            <w:r>
              <w:rPr>
                <w:rFonts w:ascii="Arial" w:hAnsi="Arial"/>
                <w:b/>
                <w:color w:val="F2A900"/>
                <w:sz w:val="18"/>
              </w:rPr>
              <w:t>0</w:t>
              <w:br/>
              <w:t>MEDIUM RISK</w:t>
            </w:r>
          </w:p>
        </w:tc>
        <w:tc>
          <w:tcPr>
            <w:tcW w:type="dxa" w:w="2581"/>
            <w:vAlign w:val="center"/>
          </w:tcPr>
          <w:p>
            <w:pPr>
              <w:spacing w:after="0"/>
              <w:jc w:val="center"/>
            </w:pPr>
            <w:r/>
            <w:r>
              <w:rPr>
                <w:rFonts w:ascii="Arial" w:hAnsi="Arial"/>
                <w:b/>
                <w:color w:val="E31B23"/>
                <w:sz w:val="18"/>
              </w:rPr>
              <w:t>0</w:t>
              <w:br/>
              <w:t>HIGH RISK</w:t>
            </w:r>
          </w:p>
        </w:tc>
      </w:tr>
    </w:tbl>
    <w:tbl>
      <w:tblPr>
        <w:tblW w:type="auto" w:w="0"/>
        <w:tblLayout w:type="fixed"/>
        <w:tblLook w:firstColumn="1" w:firstRow="1" w:lastColumn="0" w:lastRow="0" w:noHBand="0" w:noVBand="1" w:val="04A0"/>
      </w:tblPr>
      <w:tblGrid>
        <w:gridCol w:w="101"/>
        <w:gridCol w:w="10080"/>
      </w:tblGrid>
      <w:tr>
        <w:tc>
          <w:tcPr>
            <w:tcW w:type="dxa" w:w="101"/>
            <w:shd w:fill="14A8E0"/>
          </w:tcPr>
          <w:p/>
        </w:tc>
        <w:tc>
          <w:tcPr>
            <w:tcW w:type="dxa" w:w="5162"/>
            <w:vAlign w:val="center"/>
          </w:tcPr>
          <w:p>
            <w:pPr>
              <w:spacing w:after="0"/>
            </w:pPr>
            <w:r/>
            <w:r>
              <w:rPr>
                <w:rFonts w:ascii="Arial" w:hAnsi="Arial"/>
                <w:b/>
                <w:color w:val="000000"/>
                <w:sz w:val="28"/>
              </w:rPr>
              <w:t>Task Description</w:t>
            </w:r>
          </w:p>
        </w:tc>
      </w:tr>
    </w:tbl>
    <w:p>
      <w:pPr>
        <w:spacing w:after="0"/>
      </w:pPr>
    </w:p>
    <w:p>
      <w:r>
        <w:t>Remove loose and unsafe masonry from the external façade at approximately 10 metres, make the area safe and replace/repair masonry using ready-mixed mortar. Works will be undertaken from a MEWP while the Waterstones store remains open.</w:t>
      </w:r>
    </w:p>
    <w:tbl>
      <w:tblPr>
        <w:tblW w:type="auto" w:w="0"/>
        <w:tblLayout w:type="fixed"/>
        <w:tblLook w:firstColumn="1" w:firstRow="1" w:lastColumn="0" w:lastRow="0" w:noHBand="0" w:noVBand="1" w:val="04A0"/>
      </w:tblPr>
      <w:tblGrid>
        <w:gridCol w:w="101"/>
        <w:gridCol w:w="10080"/>
      </w:tblGrid>
      <w:tr>
        <w:tc>
          <w:tcPr>
            <w:tcW w:type="dxa" w:w="101"/>
            <w:shd w:fill="14A8E0"/>
          </w:tcPr>
          <w:p/>
        </w:tc>
        <w:tc>
          <w:tcPr>
            <w:tcW w:type="dxa" w:w="5162"/>
            <w:vAlign w:val="center"/>
          </w:tcPr>
          <w:p>
            <w:pPr>
              <w:spacing w:after="0"/>
            </w:pPr>
            <w:r/>
            <w:r>
              <w:rPr>
                <w:rFonts w:ascii="Arial" w:hAnsi="Arial"/>
                <w:b/>
                <w:color w:val="000000"/>
                <w:sz w:val="28"/>
              </w:rPr>
              <w:t>Required PPE</w:t>
            </w:r>
          </w:p>
        </w:tc>
      </w:tr>
    </w:tbl>
    <w:p>
      <w:pPr>
        <w:spacing w:after="0"/>
      </w:pPr>
    </w:p>
    <w:p>
      <w:r>
        <w:t>Safety Footwear     Gloves     Hard Hat     Eye / Face Protection     High Visibility Clothing     Suitable RPE where dust is generated     Hearing Protection where required</w:t>
      </w:r>
    </w:p>
    <w:tbl>
      <w:tblPr>
        <w:tblW w:type="auto" w:w="0"/>
        <w:tblLayout w:type="fixed"/>
        <w:tblLook w:firstColumn="1" w:firstRow="1" w:lastColumn="0" w:lastRow="0" w:noHBand="0" w:noVBand="1" w:val="04A0"/>
      </w:tblPr>
      <w:tblGrid>
        <w:gridCol w:w="101"/>
        <w:gridCol w:w="10080"/>
      </w:tblGrid>
      <w:tr>
        <w:tc>
          <w:tcPr>
            <w:tcW w:type="dxa" w:w="101"/>
            <w:shd w:fill="7B2CBF"/>
          </w:tcPr>
          <w:p/>
        </w:tc>
        <w:tc>
          <w:tcPr>
            <w:tcW w:type="dxa" w:w="5162"/>
            <w:vAlign w:val="center"/>
          </w:tcPr>
          <w:p>
            <w:pPr>
              <w:spacing w:after="0"/>
            </w:pPr>
            <w:r/>
            <w:r>
              <w:rPr>
                <w:rFonts w:ascii="Arial" w:hAnsi="Arial"/>
                <w:b/>
                <w:color w:val="000000"/>
                <w:sz w:val="28"/>
              </w:rPr>
              <w:t>Tools and Equipment</w:t>
            </w:r>
          </w:p>
        </w:tc>
      </w:tr>
    </w:tbl>
    <w:p>
      <w:pPr>
        <w:spacing w:after="0"/>
      </w:pPr>
    </w:p>
    <w:p>
      <w:r>
        <w:t>MEWP • SDS drill • Hammer and bolster • Grinder • General hand tools • Ready-mixed mortar • Replacement masonry • Barriers and warning signage • Tool lanyards / secure tool storage • First aid kit</w:t>
      </w:r>
    </w:p>
    <w:tbl>
      <w:tblPr>
        <w:tblW w:type="auto" w:w="0"/>
        <w:tblLayout w:type="fixed"/>
        <w:tblLook w:firstColumn="1" w:firstRow="1" w:lastColumn="0" w:lastRow="0" w:noHBand="0" w:noVBand="1" w:val="04A0"/>
      </w:tblPr>
      <w:tblGrid>
        <w:gridCol w:w="101"/>
        <w:gridCol w:w="10080"/>
      </w:tblGrid>
      <w:tr>
        <w:tc>
          <w:tcPr>
            <w:tcW w:type="dxa" w:w="101"/>
            <w:shd w:fill="000000"/>
          </w:tcPr>
          <w:p/>
        </w:tc>
        <w:tc>
          <w:tcPr>
            <w:tcW w:type="dxa" w:w="5162"/>
            <w:vAlign w:val="center"/>
          </w:tcPr>
          <w:p>
            <w:pPr>
              <w:spacing w:after="0"/>
            </w:pPr>
            <w:r/>
            <w:r>
              <w:rPr>
                <w:rFonts w:ascii="Arial" w:hAnsi="Arial"/>
                <w:b/>
                <w:color w:val="000000"/>
                <w:sz w:val="28"/>
              </w:rPr>
              <w:t>Safe System of Work Summary</w:t>
            </w:r>
          </w:p>
        </w:tc>
      </w:tr>
    </w:tbl>
    <w:p>
      <w:pPr>
        <w:spacing w:after="0"/>
      </w:pPr>
    </w:p>
    <w:p>
      <w:r>
        <w:t>The safe system of work is based on controlled access to the façade by trained CWP operatives using a suitable MEWP, a fully barriered exclusion zone below the workface and maintenance of a safe pedestrian route while the store remains open.</w:t>
      </w:r>
    </w:p>
    <w:p>
      <w:r>
        <w:rPr>
          <w:b/>
        </w:rPr>
        <w:t>Key Steps</w:t>
      </w:r>
    </w:p>
    <w:p>
      <w:pPr>
        <w:pStyle w:val="ListNumber"/>
      </w:pPr>
      <w:r>
        <w:t>Report to the store representative and confirm the work area and public access arrangements.</w:t>
      </w:r>
    </w:p>
    <w:p>
      <w:pPr>
        <w:pStyle w:val="ListNumber"/>
      </w:pPr>
      <w:r>
        <w:t>Fully barrier the area beneath the workface and maintain a safe pedestrian route.</w:t>
      </w:r>
    </w:p>
    <w:p>
      <w:pPr>
        <w:pStyle w:val="ListNumber"/>
      </w:pPr>
      <w:r>
        <w:t>Inspect the MEWP, ground conditions and façade before work starts.</w:t>
      </w:r>
    </w:p>
    <w:p>
      <w:pPr>
        <w:pStyle w:val="ListNumber"/>
      </w:pPr>
      <w:r>
        <w:t>Carefully remove loose masonry in controlled sections; retain all debris in the MEWP basket.</w:t>
      </w:r>
    </w:p>
    <w:p>
      <w:pPr>
        <w:pStyle w:val="ListNumber"/>
      </w:pPr>
      <w:r>
        <w:t>Prepare and replace/repair masonry using ready-mixed mortar.</w:t>
      </w:r>
    </w:p>
    <w:p>
      <w:pPr>
        <w:pStyle w:val="ListNumber"/>
      </w:pPr>
      <w:r>
        <w:t>Inspect the completed work and only remove barriers once the façade and pavement are safe.</w:t>
      </w:r>
    </w:p>
    <w:p>
      <w:r>
        <w:rPr>
          <w:b/>
        </w:rPr>
        <w:t>Stop Work Criteria</w:t>
      </w:r>
    </w:p>
    <w:p>
      <w:pPr>
        <w:pStyle w:val="ListBullet"/>
      </w:pPr>
      <w:r>
        <w:t>Public entering the exclusion zone or loss of safe pedestrian segregation.</w:t>
      </w:r>
    </w:p>
    <w:p>
      <w:pPr>
        <w:pStyle w:val="ListBullet"/>
      </w:pPr>
      <w:r>
        <w:t>Unexpected widespread façade instability or structural movement.</w:t>
      </w:r>
    </w:p>
    <w:p>
      <w:pPr>
        <w:pStyle w:val="ListBullet"/>
      </w:pPr>
      <w:r>
        <w:t>Unsafe MEWP ground conditions, defect or emergency-control issue.</w:t>
      </w:r>
    </w:p>
    <w:p>
      <w:pPr>
        <w:pStyle w:val="ListBullet"/>
      </w:pPr>
      <w:r>
        <w:t>Wind or weather exceeding safe MEWP operating limits.</w:t>
      </w:r>
    </w:p>
    <w:p>
      <w:pPr>
        <w:pStyle w:val="ListBullet"/>
      </w:pPr>
      <w:r>
        <w:t>Any uncontrolled risk not covered by this RAMS.</w:t>
      </w:r>
    </w:p>
    <w:p>
      <w:r>
        <w:br w:type="page"/>
      </w:r>
    </w:p>
    <w:tbl>
      <w:tblPr>
        <w:tblW w:type="auto" w:w="0"/>
        <w:tblLayout w:type="fixed"/>
        <w:tblLook w:firstColumn="1" w:firstRow="1" w:lastColumn="0" w:lastRow="0" w:noHBand="0" w:noVBand="1" w:val="04A0"/>
      </w:tblPr>
      <w:tblGrid>
        <w:gridCol w:w="101"/>
        <w:gridCol w:w="10080"/>
      </w:tblGrid>
      <w:tr>
        <w:tc>
          <w:tcPr>
            <w:tcW w:type="dxa" w:w="101"/>
            <w:shd w:fill="E31B23"/>
          </w:tcPr>
          <w:p/>
        </w:tc>
        <w:tc>
          <w:tcPr>
            <w:tcW w:type="dxa" w:w="5162"/>
            <w:vAlign w:val="center"/>
          </w:tcPr>
          <w:p>
            <w:pPr>
              <w:spacing w:after="0"/>
            </w:pPr>
            <w:r/>
            <w:r>
              <w:rPr>
                <w:rFonts w:ascii="Arial" w:hAnsi="Arial"/>
                <w:b/>
                <w:color w:val="000000"/>
                <w:sz w:val="28"/>
              </w:rPr>
              <w:t>Risk Assessment</w:t>
            </w:r>
          </w:p>
        </w:tc>
      </w:tr>
    </w:tbl>
    <w:p>
      <w:pPr>
        <w:spacing w:after="0"/>
      </w:pPr>
    </w:p>
    <w:tbl>
      <w:tblPr>
        <w:tblStyle w:val="TableGrid"/>
        <w:tblW w:type="auto" w:w="0"/>
        <w:tblLayout w:type="fixed"/>
        <w:tblLook w:firstColumn="1" w:firstRow="1" w:lastColumn="0" w:lastRow="0" w:noHBand="0" w:noVBand="1" w:val="04A0"/>
      </w:tblPr>
      <w:tblGrid>
        <w:gridCol w:w="1475"/>
        <w:gridCol w:w="1475"/>
        <w:gridCol w:w="1475"/>
        <w:gridCol w:w="1475"/>
        <w:gridCol w:w="1475"/>
        <w:gridCol w:w="1475"/>
        <w:gridCol w:w="1475"/>
      </w:tblGrid>
      <w:tr>
        <w:tc>
          <w:tcPr>
            <w:tcW w:type="dxa" w:w="1512"/>
            <w:vAlign w:val="center"/>
            <w:shd w:fill="EAF0F6"/>
            <w:tcMar>
              <w:top w:w="35" w:type="dxa"/>
              <w:left w:w="35" w:type="dxa"/>
              <w:bottom w:w="35" w:type="dxa"/>
              <w:right w:w="35" w:type="dxa"/>
            </w:tcMar>
          </w:tcPr>
          <w:p>
            <w:pPr>
              <w:spacing w:after="0" w:before="0" w:line="204" w:lineRule="auto"/>
            </w:pPr>
            <w:r>
              <w:rPr>
                <w:sz w:val="11"/>
              </w:rPr>
            </w:r>
            <w:r>
              <w:rPr>
                <w:rFonts w:ascii="Arial" w:hAnsi="Arial"/>
                <w:b/>
                <w:color w:val="000000"/>
                <w:sz w:val="12"/>
              </w:rPr>
              <w:t>HAZARD</w:t>
            </w:r>
          </w:p>
        </w:tc>
        <w:tc>
          <w:tcPr>
            <w:tcW w:type="dxa" w:w="1728"/>
            <w:vAlign w:val="center"/>
            <w:shd w:fill="EAF0F6"/>
            <w:tcMar>
              <w:top w:w="35" w:type="dxa"/>
              <w:left w:w="35" w:type="dxa"/>
              <w:bottom w:w="35" w:type="dxa"/>
              <w:right w:w="35" w:type="dxa"/>
            </w:tcMar>
          </w:tcPr>
          <w:p>
            <w:pPr>
              <w:spacing w:after="0" w:before="0" w:line="204" w:lineRule="auto"/>
            </w:pPr>
            <w:r>
              <w:rPr>
                <w:sz w:val="11"/>
              </w:rPr>
            </w:r>
            <w:r>
              <w:rPr>
                <w:rFonts w:ascii="Arial" w:hAnsi="Arial"/>
                <w:b/>
                <w:color w:val="000000"/>
                <w:sz w:val="12"/>
              </w:rPr>
              <w:t>DESCRIPTION</w:t>
            </w:r>
          </w:p>
        </w:tc>
        <w:tc>
          <w:tcPr>
            <w:tcW w:type="dxa" w:w="1152"/>
            <w:vAlign w:val="center"/>
            <w:shd w:fill="EAF0F6"/>
            <w:tcMar>
              <w:top w:w="35" w:type="dxa"/>
              <w:left w:w="35" w:type="dxa"/>
              <w:bottom w:w="35" w:type="dxa"/>
              <w:right w:w="35" w:type="dxa"/>
            </w:tcMar>
          </w:tcPr>
          <w:p>
            <w:pPr>
              <w:spacing w:after="0" w:before="0" w:line="204" w:lineRule="auto"/>
            </w:pPr>
            <w:r>
              <w:rPr>
                <w:sz w:val="11"/>
              </w:rPr>
            </w:r>
            <w:r>
              <w:rPr>
                <w:rFonts w:ascii="Arial" w:hAnsi="Arial"/>
                <w:b/>
                <w:color w:val="000000"/>
                <w:sz w:val="12"/>
              </w:rPr>
              <w:t>AFFECTS</w:t>
            </w:r>
          </w:p>
        </w:tc>
        <w:tc>
          <w:tcPr>
            <w:tcW w:type="dxa" w:w="792"/>
            <w:vAlign w:val="center"/>
            <w:shd w:fill="EAF0F6"/>
            <w:tcMar>
              <w:top w:w="35" w:type="dxa"/>
              <w:left w:w="35" w:type="dxa"/>
              <w:bottom w:w="35" w:type="dxa"/>
              <w:right w:w="35" w:type="dxa"/>
            </w:tcMar>
          </w:tcPr>
          <w:p>
            <w:pPr>
              <w:spacing w:after="0" w:before="0" w:line="204" w:lineRule="auto"/>
            </w:pPr>
            <w:r>
              <w:rPr>
                <w:sz w:val="11"/>
              </w:rPr>
            </w:r>
            <w:r>
              <w:rPr>
                <w:rFonts w:ascii="Arial" w:hAnsi="Arial"/>
                <w:b/>
                <w:color w:val="000000"/>
                <w:sz w:val="12"/>
              </w:rPr>
              <w:t>INITIAL</w:t>
            </w:r>
          </w:p>
        </w:tc>
        <w:tc>
          <w:tcPr>
            <w:tcW w:type="dxa" w:w="3672"/>
            <w:vAlign w:val="center"/>
            <w:shd w:fill="EAF0F6"/>
            <w:tcMar>
              <w:top w:w="35" w:type="dxa"/>
              <w:left w:w="35" w:type="dxa"/>
              <w:bottom w:w="35" w:type="dxa"/>
              <w:right w:w="35" w:type="dxa"/>
            </w:tcMar>
          </w:tcPr>
          <w:p>
            <w:pPr>
              <w:spacing w:after="0" w:before="0" w:line="204" w:lineRule="auto"/>
            </w:pPr>
            <w:r>
              <w:rPr>
                <w:sz w:val="11"/>
              </w:rPr>
            </w:r>
            <w:r>
              <w:rPr>
                <w:rFonts w:ascii="Arial" w:hAnsi="Arial"/>
                <w:b/>
                <w:color w:val="000000"/>
                <w:sz w:val="12"/>
              </w:rPr>
              <w:t>CONTROL MEASURES</w:t>
            </w:r>
          </w:p>
        </w:tc>
        <w:tc>
          <w:tcPr>
            <w:tcW w:type="dxa" w:w="864"/>
            <w:vAlign w:val="center"/>
            <w:shd w:fill="EAF0F6"/>
            <w:tcMar>
              <w:top w:w="35" w:type="dxa"/>
              <w:left w:w="35" w:type="dxa"/>
              <w:bottom w:w="35" w:type="dxa"/>
              <w:right w:w="35" w:type="dxa"/>
            </w:tcMar>
          </w:tcPr>
          <w:p>
            <w:pPr>
              <w:spacing w:after="0" w:before="0" w:line="204" w:lineRule="auto"/>
            </w:pPr>
            <w:r>
              <w:rPr>
                <w:sz w:val="11"/>
              </w:rPr>
            </w:r>
            <w:r>
              <w:rPr>
                <w:rFonts w:ascii="Arial" w:hAnsi="Arial"/>
                <w:b/>
                <w:color w:val="000000"/>
                <w:sz w:val="12"/>
              </w:rPr>
              <w:t>RESIDUAL</w:t>
            </w:r>
          </w:p>
        </w:tc>
        <w:tc>
          <w:tcPr>
            <w:tcW w:type="dxa" w:w="936"/>
            <w:vAlign w:val="center"/>
            <w:shd w:fill="EAF0F6"/>
            <w:tcMar>
              <w:top w:w="35" w:type="dxa"/>
              <w:left w:w="35" w:type="dxa"/>
              <w:bottom w:w="35" w:type="dxa"/>
              <w:right w:w="35" w:type="dxa"/>
            </w:tcMar>
          </w:tcPr>
          <w:p>
            <w:pPr>
              <w:spacing w:after="0" w:before="0" w:line="204" w:lineRule="auto"/>
            </w:pPr>
            <w:r>
              <w:rPr>
                <w:sz w:val="11"/>
              </w:rPr>
            </w:r>
            <w:r>
              <w:rPr>
                <w:rFonts w:ascii="Arial" w:hAnsi="Arial"/>
                <w:b/>
                <w:color w:val="000000"/>
                <w:sz w:val="12"/>
              </w:rPr>
              <w:t>RISK LEVEL</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Falling Masonry / Debris</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Falling material could strike operatives, customers or members of the public.</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 public, store customers</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5×5=25</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Fully barrier exclusion zone below and around workface. Maintain safe pedestrian route outside danger area. Controlled removal only. All masonry/debris retained in MEWP basket and brought down. Nothing thrown or dropped. Hard hats worn.</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1×3=3</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Work at Height / MEWP</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Fall from platform or unsafe use of MEWP.</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5×5=25</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Only appropriately IPAF-trained CWP operatives to operate MEWP. Pre-use inspection. Gates closed. No climbing on guardrails. Use manufacturer-required restraint/fall protection. Keep within platform limits.</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1×3=3</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MEWP Stability</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Overturning due to unsuitable ground or incorrect set-up.</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 public</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5×5=25</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MEWP positioned on level, firm pavement. Ground condition checked before use. Observe rated capacity/outreach and manufacturer instructions. Stabilisers/outriggers used where applicable.</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1×3=3</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Entrapment / Crushing</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Operator trapped between basket and façade/building projection.</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5×4=20</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Check façade projections and overhead hazards. Controlled platform movements. Maintain clearance. Ground operative familiar with emergency lowering controls.</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1×3=3</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Public Interface</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Customers/pedestrians enter work area while store remains open.</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Public, customers</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5×4=20</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Robust barriers and warning signage. Safe pedestrian route maintained. Supervisor monitors segregation. Stop work immediately if exclusion zone is breached. Do not obstruct fire exits.</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1×2=2</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Masonry Dust / Silica</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Dust from drilling, cutting or grinding.</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 public</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4×4=16</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Minimise cutting/grinding. Use dust suppression/extraction where practicable. Suitable RPE and eye protection. Public kept outside exclusion zone. Avoid dry sweeping of significant dust.</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1×3=3</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Power Tools</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Cuts, vibration, noise, ejected particles or electric shock.</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4×4=16</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Competent users only. Pre-use inspection. Correct guards/accessories. Battery/110V equipment as appropriate. Eye and hearing protection as required. Isolate before adjustments.</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1×3=3</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Manual Handling</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Handling masonry, tools and materials in basket.</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4×3=12</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Keep loads manageable. Position platform to avoid overreach. Team lift where necessary. Do not exceed MEWP basket capacity.</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1×2=2</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Falling Tools</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Tools or small items falling from platform.</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 public</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5×4=20</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Exclusion zone maintained. Tools secured/stored within basket. Tool lanyards where practicable. No loose items on platform edge.</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1×2=2</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Weather / Wind</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Loss of control or instability during adverse weather.</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 public</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5×4=20</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Check weather before and during works. Comply with MEWP wind limits. Stop in excessive wind, lightning, poor visibility or unsafe conditions.</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1×2=2</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r>
        <w:tc>
          <w:tcPr>
            <w:tcW w:type="dxa" w:w="1512"/>
            <w:vAlign w:val="center"/>
            <w:tcMar>
              <w:top w:w="35" w:type="dxa"/>
              <w:left w:w="35" w:type="dxa"/>
              <w:bottom w:w="35" w:type="dxa"/>
              <w:right w:w="35" w:type="dxa"/>
            </w:tcMar>
          </w:tcPr>
          <w:p>
            <w:pPr>
              <w:spacing w:after="0" w:before="0" w:line="204" w:lineRule="auto"/>
            </w:pPr>
            <w:r>
              <w:rPr>
                <w:sz w:val="10"/>
              </w:rPr>
            </w:r>
            <w:r>
              <w:rPr>
                <w:rFonts w:ascii="Arial" w:hAnsi="Arial"/>
                <w:b/>
                <w:color w:val="263348"/>
                <w:sz w:val="12"/>
              </w:rPr>
              <w:t>Unexpected Façade Instability</w:t>
            </w:r>
          </w:p>
        </w:tc>
        <w:tc>
          <w:tcPr>
            <w:tcW w:type="dxa" w:w="1728"/>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Removal reveals greater instability than anticipated.</w:t>
            </w:r>
          </w:p>
        </w:tc>
        <w:tc>
          <w:tcPr>
            <w:tcW w:type="dxa" w:w="115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Operatives, public</w:t>
            </w:r>
          </w:p>
        </w:tc>
        <w:tc>
          <w:tcPr>
            <w:tcW w:type="dxa" w:w="79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5×5=25</w:t>
            </w:r>
          </w:p>
        </w:tc>
        <w:tc>
          <w:tcPr>
            <w:tcW w:type="dxa" w:w="3672"/>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Inspect before disturbance. Remove only controlled sections. Stop work if instability extends beyond planned repair. Maintain/extend exclusion zone and obtain competent technical advice before continuing.</w:t>
            </w:r>
          </w:p>
        </w:tc>
        <w:tc>
          <w:tcPr>
            <w:tcW w:type="dxa" w:w="864"/>
            <w:vAlign w:val="center"/>
            <w:tcMar>
              <w:top w:w="35" w:type="dxa"/>
              <w:left w:w="35" w:type="dxa"/>
              <w:bottom w:w="35" w:type="dxa"/>
              <w:right w:w="35" w:type="dxa"/>
            </w:tcMar>
          </w:tcPr>
          <w:p>
            <w:pPr>
              <w:spacing w:after="0" w:before="0" w:line="204" w:lineRule="auto"/>
            </w:pPr>
            <w:r>
              <w:rPr>
                <w:sz w:val="10"/>
              </w:rPr>
            </w:r>
            <w:r>
              <w:rPr>
                <w:rFonts w:ascii="Arial" w:hAnsi="Arial"/>
                <w:b w:val="0"/>
                <w:color w:val="263348"/>
                <w:sz w:val="12"/>
              </w:rPr>
              <w:t>1×3=3</w:t>
            </w:r>
          </w:p>
        </w:tc>
        <w:tc>
          <w:tcPr>
            <w:tcW w:type="dxa" w:w="936"/>
            <w:vAlign w:val="center"/>
            <w:shd w:fill="DDF6E8"/>
            <w:tcMar>
              <w:top w:w="35" w:type="dxa"/>
              <w:left w:w="35" w:type="dxa"/>
              <w:bottom w:w="35" w:type="dxa"/>
              <w:right w:w="35" w:type="dxa"/>
            </w:tcMar>
          </w:tcPr>
          <w:p>
            <w:pPr>
              <w:spacing w:after="0" w:before="0" w:line="204" w:lineRule="auto"/>
            </w:pPr>
            <w:r>
              <w:rPr>
                <w:sz w:val="10"/>
              </w:rPr>
            </w:r>
            <w:r>
              <w:rPr>
                <w:rFonts w:ascii="Arial" w:hAnsi="Arial"/>
                <w:b w:val="0"/>
                <w:color w:val="263348"/>
                <w:sz w:val="12"/>
              </w:rPr>
              <w:t>LOW</w:t>
            </w:r>
          </w:p>
        </w:tc>
      </w:tr>
    </w:tbl>
    <w:p>
      <w:r>
        <w:br w:type="page"/>
      </w:r>
    </w:p>
    <w:tbl>
      <w:tblPr>
        <w:tblW w:type="auto" w:w="0"/>
        <w:tblLayout w:type="fixed"/>
        <w:tblLook w:firstColumn="1" w:firstRow="1" w:lastColumn="0" w:lastRow="0" w:noHBand="0" w:noVBand="1" w:val="04A0"/>
      </w:tblPr>
      <w:tblGrid>
        <w:gridCol w:w="101"/>
        <w:gridCol w:w="10080"/>
      </w:tblGrid>
      <w:tr>
        <w:tc>
          <w:tcPr>
            <w:tcW w:type="dxa" w:w="101"/>
            <w:shd w:fill="20B36A"/>
          </w:tcPr>
          <w:p/>
        </w:tc>
        <w:tc>
          <w:tcPr>
            <w:tcW w:type="dxa" w:w="5162"/>
            <w:vAlign w:val="center"/>
          </w:tcPr>
          <w:p>
            <w:pPr>
              <w:spacing w:after="0"/>
            </w:pPr>
            <w:r/>
            <w:r>
              <w:rPr>
                <w:rFonts w:ascii="Arial" w:hAnsi="Arial"/>
                <w:b/>
                <w:color w:val="000000"/>
                <w:sz w:val="28"/>
              </w:rPr>
              <w:t>Method Statement</w:t>
            </w:r>
          </w:p>
        </w:tc>
      </w:tr>
    </w:tbl>
    <w:p>
      <w:pPr>
        <w:spacing w:after="0"/>
      </w:pP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w:t>
            </w:r>
          </w:p>
        </w:tc>
        <w:tc>
          <w:tcPr>
            <w:tcW w:type="dxa" w:w="9807"/>
            <w:vAlign w:val="center"/>
          </w:tcPr>
          <w:p>
            <w:pPr>
              <w:spacing w:after="0"/>
            </w:pPr>
            <w:r>
              <w:rPr>
                <w:b/>
                <w:color w:val="14A8E0"/>
              </w:rPr>
            </w:r>
            <w:r>
              <w:rPr>
                <w:rFonts w:ascii="Arial" w:hAnsi="Arial"/>
                <w:b/>
                <w:color w:val="14A8E0"/>
                <w:sz w:val="18"/>
              </w:rPr>
              <w:t>Scope of Works</w:t>
            </w:r>
          </w:p>
        </w:tc>
      </w:tr>
    </w:tbl>
    <w:p>
      <w:pPr>
        <w:spacing w:after="120"/>
        <w:ind w:left="504"/>
      </w:pPr>
      <w:r>
        <w:t>The works comprise removal of loose/unsafe masonry from the external façade at approximately 10m, making the area safe and replacing/repairing masonry. Access will be by MEWP. The Waterstones store will remain open during the works.</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2</w:t>
            </w:r>
          </w:p>
        </w:tc>
        <w:tc>
          <w:tcPr>
            <w:tcW w:type="dxa" w:w="9807"/>
            <w:vAlign w:val="center"/>
          </w:tcPr>
          <w:p>
            <w:pPr>
              <w:spacing w:after="0"/>
            </w:pPr>
            <w:r>
              <w:rPr>
                <w:b/>
                <w:color w:val="14A8E0"/>
              </w:rPr>
            </w:r>
            <w:r>
              <w:rPr>
                <w:rFonts w:ascii="Arial" w:hAnsi="Arial"/>
                <w:b/>
                <w:color w:val="14A8E0"/>
                <w:sz w:val="18"/>
              </w:rPr>
              <w:t>Arrival and Site Coordination</w:t>
            </w:r>
          </w:p>
        </w:tc>
      </w:tr>
    </w:tbl>
    <w:p>
      <w:pPr>
        <w:spacing w:after="120"/>
        <w:ind w:left="504"/>
      </w:pPr>
      <w:r>
        <w:t>Report to the Waterstones representative. Confirm work location, store access, emergency arrangements and pedestrian route. Paul Highfield will supervise the works and brief both operatives.</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3</w:t>
            </w:r>
          </w:p>
        </w:tc>
        <w:tc>
          <w:tcPr>
            <w:tcW w:type="dxa" w:w="9807"/>
            <w:vAlign w:val="center"/>
          </w:tcPr>
          <w:p>
            <w:pPr>
              <w:spacing w:after="0"/>
            </w:pPr>
            <w:r>
              <w:rPr>
                <w:b/>
                <w:color w:val="14A8E0"/>
              </w:rPr>
            </w:r>
            <w:r>
              <w:rPr>
                <w:rFonts w:ascii="Arial" w:hAnsi="Arial"/>
                <w:b/>
                <w:color w:val="14A8E0"/>
                <w:sz w:val="18"/>
              </w:rPr>
              <w:t>Exclusion Zone and Public Protection</w:t>
            </w:r>
          </w:p>
        </w:tc>
      </w:tr>
    </w:tbl>
    <w:p>
      <w:pPr>
        <w:spacing w:after="120"/>
        <w:ind w:left="504"/>
      </w:pPr>
      <w:r>
        <w:t>Establish a robust, fully barriered exclusion zone beneath and around the active workface before raising the MEWP. Provide warning signage. A clearly defined safe pedestrian route must remain available past the works. The public must never pass beneath the active workface.</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4</w:t>
            </w:r>
          </w:p>
        </w:tc>
        <w:tc>
          <w:tcPr>
            <w:tcW w:type="dxa" w:w="9807"/>
            <w:vAlign w:val="center"/>
          </w:tcPr>
          <w:p>
            <w:pPr>
              <w:spacing w:after="0"/>
            </w:pPr>
            <w:r>
              <w:rPr>
                <w:b/>
                <w:color w:val="14A8E0"/>
              </w:rPr>
            </w:r>
            <w:r>
              <w:rPr>
                <w:rFonts w:ascii="Arial" w:hAnsi="Arial"/>
                <w:b/>
                <w:color w:val="14A8E0"/>
                <w:sz w:val="18"/>
              </w:rPr>
              <w:t>MEWP Set-Up</w:t>
            </w:r>
          </w:p>
        </w:tc>
      </w:tr>
    </w:tbl>
    <w:p>
      <w:pPr>
        <w:spacing w:after="120"/>
        <w:ind w:left="504"/>
      </w:pPr>
      <w:r>
        <w:t>Position the MEWP on the identified level, firm pavement. Check ground condition, overhead obstructions, façade projections, street furniture and other hazards. Complete pre-use checks and confirm emergency lowering controls. Only appropriately IPAF-trained CWP operatives may operate the MEWP.</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5</w:t>
            </w:r>
          </w:p>
        </w:tc>
        <w:tc>
          <w:tcPr>
            <w:tcW w:type="dxa" w:w="9807"/>
            <w:vAlign w:val="center"/>
          </w:tcPr>
          <w:p>
            <w:pPr>
              <w:spacing w:after="0"/>
            </w:pPr>
            <w:r>
              <w:rPr>
                <w:b/>
                <w:color w:val="14A8E0"/>
              </w:rPr>
            </w:r>
            <w:r>
              <w:rPr>
                <w:rFonts w:ascii="Arial" w:hAnsi="Arial"/>
                <w:b/>
                <w:color w:val="14A8E0"/>
                <w:sz w:val="18"/>
              </w:rPr>
              <w:t>Access to Workface</w:t>
            </w:r>
          </w:p>
        </w:tc>
      </w:tr>
    </w:tbl>
    <w:p>
      <w:pPr>
        <w:spacing w:after="120"/>
        <w:ind w:left="504"/>
      </w:pPr>
      <w:r>
        <w:t>Raise the platform in a controlled manner. Keep the basket gate closed and remain within the guardrails. Do not climb or stand on rails. Use manufacturer-required restraint/fall protection for the MEWP type.</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6</w:t>
            </w:r>
          </w:p>
        </w:tc>
        <w:tc>
          <w:tcPr>
            <w:tcW w:type="dxa" w:w="9807"/>
            <w:vAlign w:val="center"/>
          </w:tcPr>
          <w:p>
            <w:pPr>
              <w:spacing w:after="0"/>
            </w:pPr>
            <w:r>
              <w:rPr>
                <w:b/>
                <w:color w:val="14A8E0"/>
              </w:rPr>
            </w:r>
            <w:r>
              <w:rPr>
                <w:rFonts w:ascii="Arial" w:hAnsi="Arial"/>
                <w:b/>
                <w:color w:val="14A8E0"/>
                <w:sz w:val="18"/>
              </w:rPr>
              <w:t>Initial Façade Inspection</w:t>
            </w:r>
          </w:p>
        </w:tc>
      </w:tr>
    </w:tbl>
    <w:p>
      <w:pPr>
        <w:spacing w:after="120"/>
        <w:ind w:left="504"/>
      </w:pPr>
      <w:r>
        <w:t>Inspect the affected masonry from a safe position before disturbing it. Identify loose sections and the likely sequence of removal. Do not place the platform directly beneath visibly unstable material where avoidable.</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7</w:t>
            </w:r>
          </w:p>
        </w:tc>
        <w:tc>
          <w:tcPr>
            <w:tcW w:type="dxa" w:w="9807"/>
            <w:vAlign w:val="center"/>
          </w:tcPr>
          <w:p>
            <w:pPr>
              <w:spacing w:after="0"/>
            </w:pPr>
            <w:r>
              <w:rPr>
                <w:b/>
                <w:color w:val="14A8E0"/>
              </w:rPr>
            </w:r>
            <w:r>
              <w:rPr>
                <w:rFonts w:ascii="Arial" w:hAnsi="Arial"/>
                <w:b/>
                <w:color w:val="14A8E0"/>
                <w:sz w:val="18"/>
              </w:rPr>
              <w:t>Removal of Loose Masonry</w:t>
            </w:r>
          </w:p>
        </w:tc>
      </w:tr>
    </w:tbl>
    <w:p>
      <w:pPr>
        <w:spacing w:after="120"/>
        <w:ind w:left="504"/>
      </w:pPr>
      <w:r>
        <w:t>Carefully remove loose or defective masonry in controlled sections using hand tools, SDS drill or grinder only as necessary. Avoid uncontrolled breakout. All removed masonry and debris must remain inside the MEWP basket and be brought down with the platform.</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8</w:t>
            </w:r>
          </w:p>
        </w:tc>
        <w:tc>
          <w:tcPr>
            <w:tcW w:type="dxa" w:w="9807"/>
            <w:vAlign w:val="center"/>
          </w:tcPr>
          <w:p>
            <w:pPr>
              <w:spacing w:after="0"/>
            </w:pPr>
            <w:r>
              <w:rPr>
                <w:b/>
                <w:color w:val="14A8E0"/>
              </w:rPr>
            </w:r>
            <w:r>
              <w:rPr>
                <w:rFonts w:ascii="Arial" w:hAnsi="Arial"/>
                <w:b/>
                <w:color w:val="14A8E0"/>
                <w:sz w:val="18"/>
              </w:rPr>
              <w:t>Dust and Tool Controls</w:t>
            </w:r>
          </w:p>
        </w:tc>
      </w:tr>
    </w:tbl>
    <w:p>
      <w:pPr>
        <w:spacing w:after="120"/>
        <w:ind w:left="504"/>
      </w:pPr>
      <w:r>
        <w:t>Minimise grinding/cutting. Use suitable extraction or suppression where practicable. Wear eye protection and suitable RPE where masonry dust is generated. Keep tools maintained and guards fitted. Secure tools within the basket and use lanyards where practicable.</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9</w:t>
            </w:r>
          </w:p>
        </w:tc>
        <w:tc>
          <w:tcPr>
            <w:tcW w:type="dxa" w:w="9807"/>
            <w:vAlign w:val="center"/>
          </w:tcPr>
          <w:p>
            <w:pPr>
              <w:spacing w:after="0"/>
            </w:pPr>
            <w:r>
              <w:rPr>
                <w:b/>
                <w:color w:val="14A8E0"/>
              </w:rPr>
            </w:r>
            <w:r>
              <w:rPr>
                <w:rFonts w:ascii="Arial" w:hAnsi="Arial"/>
                <w:b/>
                <w:color w:val="14A8E0"/>
                <w:sz w:val="18"/>
              </w:rPr>
              <w:t>Repair / Replacement</w:t>
            </w:r>
          </w:p>
        </w:tc>
      </w:tr>
    </w:tbl>
    <w:p>
      <w:pPr>
        <w:spacing w:after="120"/>
        <w:ind w:left="504"/>
      </w:pPr>
      <w:r>
        <w:t>Prepare sound surrounding masonry and install suitable replacement masonry using ready-mixed mortar. Work progressively and maintain stability of the remaining façade at all times.</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10</w:t>
            </w:r>
          </w:p>
        </w:tc>
        <w:tc>
          <w:tcPr>
            <w:tcW w:type="dxa" w:w="9807"/>
            <w:vAlign w:val="center"/>
          </w:tcPr>
          <w:p>
            <w:pPr>
              <w:spacing w:after="0"/>
            </w:pPr>
            <w:r>
              <w:rPr>
                <w:b/>
                <w:color w:val="14A8E0"/>
              </w:rPr>
            </w:r>
            <w:r>
              <w:rPr>
                <w:rFonts w:ascii="Arial" w:hAnsi="Arial"/>
                <w:b/>
                <w:color w:val="14A8E0"/>
                <w:sz w:val="18"/>
              </w:rPr>
              <w:t>Unexpected Instability</w:t>
            </w:r>
          </w:p>
        </w:tc>
      </w:tr>
    </w:tbl>
    <w:p>
      <w:pPr>
        <w:spacing w:after="120"/>
        <w:ind w:left="504"/>
      </w:pPr>
      <w:r>
        <w:t>If removal exposes widespread instability, cracking, movement or an unsafe substrate, stop work. Lower the platform, maintain or extend the exclusion zone and refer the condition to the client/project manager for competent technical assessment before continuing.</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11</w:t>
            </w:r>
          </w:p>
        </w:tc>
        <w:tc>
          <w:tcPr>
            <w:tcW w:type="dxa" w:w="9807"/>
            <w:vAlign w:val="center"/>
          </w:tcPr>
          <w:p>
            <w:pPr>
              <w:spacing w:after="0"/>
            </w:pPr>
            <w:r>
              <w:rPr>
                <w:b/>
                <w:color w:val="14A8E0"/>
              </w:rPr>
            </w:r>
            <w:r>
              <w:rPr>
                <w:rFonts w:ascii="Arial" w:hAnsi="Arial"/>
                <w:b/>
                <w:color w:val="14A8E0"/>
                <w:sz w:val="18"/>
              </w:rPr>
              <w:t>Completion</w:t>
            </w:r>
          </w:p>
        </w:tc>
      </w:tr>
    </w:tbl>
    <w:p>
      <w:pPr>
        <w:spacing w:after="120"/>
        <w:ind w:left="504"/>
      </w:pPr>
      <w:r>
        <w:t>Inspect the repaired area and adjacent masonry for obvious remaining loose material. Lower the MEWP with all tools and debris retained. Remove waste and clean the pavement.</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12</w:t>
            </w:r>
          </w:p>
        </w:tc>
        <w:tc>
          <w:tcPr>
            <w:tcW w:type="dxa" w:w="9807"/>
            <w:vAlign w:val="center"/>
          </w:tcPr>
          <w:p>
            <w:pPr>
              <w:spacing w:after="0"/>
            </w:pPr>
            <w:r>
              <w:rPr>
                <w:b/>
                <w:color w:val="14A8E0"/>
              </w:rPr>
            </w:r>
            <w:r>
              <w:rPr>
                <w:rFonts w:ascii="Arial" w:hAnsi="Arial"/>
                <w:b/>
                <w:color w:val="14A8E0"/>
                <w:sz w:val="18"/>
              </w:rPr>
              <w:t>Handover</w:t>
            </w:r>
          </w:p>
        </w:tc>
      </w:tr>
    </w:tbl>
    <w:p>
      <w:pPr>
        <w:spacing w:after="120"/>
        <w:ind w:left="504"/>
      </w:pPr>
      <w:r>
        <w:t>Barriers may only be removed when Paul Highfield is satisfied there is no remaining risk of falling material and the pedestrian route is clean and safe. Sign out with the store representative.</w:t>
      </w:r>
    </w:p>
    <w:p>
      <w:r>
        <w:br w:type="page"/>
      </w:r>
    </w:p>
    <w:tbl>
      <w:tblPr>
        <w:tblW w:type="auto" w:w="0"/>
        <w:tblLayout w:type="fixed"/>
        <w:tblLook w:firstColumn="1" w:firstRow="1" w:lastColumn="0" w:lastRow="0" w:noHBand="0" w:noVBand="1" w:val="04A0"/>
      </w:tblPr>
      <w:tblGrid>
        <w:gridCol w:w="101"/>
        <w:gridCol w:w="10080"/>
      </w:tblGrid>
      <w:tr>
        <w:tc>
          <w:tcPr>
            <w:tcW w:type="dxa" w:w="101"/>
            <w:shd w:fill="20B36A"/>
          </w:tcPr>
          <w:p/>
        </w:tc>
        <w:tc>
          <w:tcPr>
            <w:tcW w:type="dxa" w:w="5162"/>
            <w:vAlign w:val="center"/>
          </w:tcPr>
          <w:p>
            <w:pPr>
              <w:spacing w:after="0"/>
            </w:pPr>
            <w:r/>
            <w:r>
              <w:rPr>
                <w:rFonts w:ascii="Arial" w:hAnsi="Arial"/>
                <w:b/>
                <w:color w:val="000000"/>
                <w:sz w:val="28"/>
              </w:rPr>
              <w:t>Additional Controls</w:t>
            </w:r>
          </w:p>
        </w:tc>
      </w:tr>
    </w:tbl>
    <w:p>
      <w:pPr>
        <w:spacing w:after="0"/>
      </w:pP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13</w:t>
            </w:r>
          </w:p>
        </w:tc>
        <w:tc>
          <w:tcPr>
            <w:tcW w:type="dxa" w:w="9807"/>
            <w:vAlign w:val="center"/>
          </w:tcPr>
          <w:p>
            <w:pPr>
              <w:spacing w:after="0"/>
            </w:pPr>
            <w:r>
              <w:rPr>
                <w:b/>
                <w:color w:val="14A8E0"/>
              </w:rPr>
            </w:r>
            <w:r>
              <w:rPr>
                <w:rFonts w:ascii="Arial" w:hAnsi="Arial"/>
                <w:b/>
                <w:color w:val="14A8E0"/>
                <w:sz w:val="18"/>
              </w:rPr>
              <w:t>PPE</w:t>
            </w:r>
          </w:p>
        </w:tc>
      </w:tr>
    </w:tbl>
    <w:p>
      <w:pPr>
        <w:spacing w:after="140"/>
        <w:ind w:left="504"/>
      </w:pPr>
      <w:r>
        <w:t>Minimum PPE: safety footwear, high-visibility clothing, gloves, hard hat and eye protection. Suitable RPE is required where masonry dust is generated. Hearing protection is to be used for noisy powered operations.</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14</w:t>
            </w:r>
          </w:p>
        </w:tc>
        <w:tc>
          <w:tcPr>
            <w:tcW w:type="dxa" w:w="9807"/>
            <w:vAlign w:val="center"/>
          </w:tcPr>
          <w:p>
            <w:pPr>
              <w:spacing w:after="0"/>
            </w:pPr>
            <w:r>
              <w:rPr>
                <w:b/>
                <w:color w:val="14A8E0"/>
              </w:rPr>
            </w:r>
            <w:r>
              <w:rPr>
                <w:rFonts w:ascii="Arial" w:hAnsi="Arial"/>
                <w:b/>
                <w:color w:val="14A8E0"/>
                <w:sz w:val="18"/>
              </w:rPr>
              <w:t>Manual Handling</w:t>
            </w:r>
          </w:p>
        </w:tc>
      </w:tr>
    </w:tbl>
    <w:p>
      <w:pPr>
        <w:spacing w:after="140"/>
        <w:ind w:left="504"/>
      </w:pPr>
      <w:r>
        <w:t>Masonry pieces, tools and materials are to be kept to manageable weights. Avoid overreaching from the MEWP. Team lifting is to be used where necessary and the MEWP platform safe working load must not be exceeded.</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15</w:t>
            </w:r>
          </w:p>
        </w:tc>
        <w:tc>
          <w:tcPr>
            <w:tcW w:type="dxa" w:w="9807"/>
            <w:vAlign w:val="center"/>
          </w:tcPr>
          <w:p>
            <w:pPr>
              <w:spacing w:after="0"/>
            </w:pPr>
            <w:r>
              <w:rPr>
                <w:b/>
                <w:color w:val="14A8E0"/>
              </w:rPr>
            </w:r>
            <w:r>
              <w:rPr>
                <w:rFonts w:ascii="Arial" w:hAnsi="Arial"/>
                <w:b/>
                <w:color w:val="14A8E0"/>
                <w:sz w:val="18"/>
              </w:rPr>
              <w:t>Dust / Silica</w:t>
            </w:r>
          </w:p>
        </w:tc>
      </w:tr>
    </w:tbl>
    <w:p>
      <w:pPr>
        <w:spacing w:after="140"/>
        <w:ind w:left="504"/>
      </w:pPr>
      <w:r>
        <w:t>Dust generation is to be reduced at source. Grinding and drilling are to be limited to what is necessary. Suitable extraction/suppression should be used where practicable. Significant dust is not to be dry swept.</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16</w:t>
            </w:r>
          </w:p>
        </w:tc>
        <w:tc>
          <w:tcPr>
            <w:tcW w:type="dxa" w:w="9807"/>
            <w:vAlign w:val="center"/>
          </w:tcPr>
          <w:p>
            <w:pPr>
              <w:spacing w:after="0"/>
            </w:pPr>
            <w:r>
              <w:rPr>
                <w:b/>
                <w:color w:val="14A8E0"/>
              </w:rPr>
            </w:r>
            <w:r>
              <w:rPr>
                <w:rFonts w:ascii="Arial" w:hAnsi="Arial"/>
                <w:b/>
                <w:color w:val="14A8E0"/>
                <w:sz w:val="18"/>
              </w:rPr>
              <w:t>Noise</w:t>
            </w:r>
          </w:p>
        </w:tc>
      </w:tr>
    </w:tbl>
    <w:p>
      <w:pPr>
        <w:spacing w:after="140"/>
        <w:ind w:left="504"/>
      </w:pPr>
      <w:r>
        <w:t>Keep powered-tool use to the minimum necessary. Hearing protection is to be worn where noise levels warrant it, and noisy work should be coordinated to reduce disturbance to the operating store.</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17</w:t>
            </w:r>
          </w:p>
        </w:tc>
        <w:tc>
          <w:tcPr>
            <w:tcW w:type="dxa" w:w="9807"/>
            <w:vAlign w:val="center"/>
          </w:tcPr>
          <w:p>
            <w:pPr>
              <w:spacing w:after="0"/>
            </w:pPr>
            <w:r>
              <w:rPr>
                <w:b/>
                <w:color w:val="14A8E0"/>
              </w:rPr>
            </w:r>
            <w:r>
              <w:rPr>
                <w:rFonts w:ascii="Arial" w:hAnsi="Arial"/>
                <w:b/>
                <w:color w:val="14A8E0"/>
                <w:sz w:val="18"/>
              </w:rPr>
              <w:t>Housekeeping and Waste</w:t>
            </w:r>
          </w:p>
        </w:tc>
      </w:tr>
    </w:tbl>
    <w:p>
      <w:pPr>
        <w:spacing w:after="140"/>
        <w:ind w:left="504"/>
      </w:pPr>
      <w:r>
        <w:t>Masonry debris and packaging are to be retained and removed safely. Nothing is to be dropped from height. Keep the pavement, pedestrian route and MEWP access area free of trip hazards.</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18</w:t>
            </w:r>
          </w:p>
        </w:tc>
        <w:tc>
          <w:tcPr>
            <w:tcW w:type="dxa" w:w="9807"/>
            <w:vAlign w:val="center"/>
          </w:tcPr>
          <w:p>
            <w:pPr>
              <w:spacing w:after="0"/>
            </w:pPr>
            <w:r>
              <w:rPr>
                <w:b/>
                <w:color w:val="14A8E0"/>
              </w:rPr>
            </w:r>
            <w:r>
              <w:rPr>
                <w:rFonts w:ascii="Arial" w:hAnsi="Arial"/>
                <w:b/>
                <w:color w:val="14A8E0"/>
                <w:sz w:val="18"/>
              </w:rPr>
              <w:t>Weather</w:t>
            </w:r>
          </w:p>
        </w:tc>
      </w:tr>
    </w:tbl>
    <w:p>
      <w:pPr>
        <w:spacing w:after="140"/>
        <w:ind w:left="504"/>
      </w:pPr>
      <w:r>
        <w:t>MEWP use must remain within the manufacturer's weather and wind limitations. Work is to cease during excessive wind, lightning, poor visibility or other conditions that could affect safe operation.</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19</w:t>
            </w:r>
          </w:p>
        </w:tc>
        <w:tc>
          <w:tcPr>
            <w:tcW w:type="dxa" w:w="9807"/>
            <w:vAlign w:val="center"/>
          </w:tcPr>
          <w:p>
            <w:pPr>
              <w:spacing w:after="0"/>
            </w:pPr>
            <w:r>
              <w:rPr>
                <w:b/>
                <w:color w:val="14A8E0"/>
              </w:rPr>
            </w:r>
            <w:r>
              <w:rPr>
                <w:rFonts w:ascii="Arial" w:hAnsi="Arial"/>
                <w:b/>
                <w:color w:val="14A8E0"/>
                <w:sz w:val="18"/>
              </w:rPr>
              <w:t>Store / Fire Routes</w:t>
            </w:r>
          </w:p>
        </w:tc>
      </w:tr>
    </w:tbl>
    <w:p>
      <w:pPr>
        <w:spacing w:after="140"/>
        <w:ind w:left="504"/>
      </w:pPr>
      <w:r>
        <w:t>The store remains open. Barriers and equipment must not obstruct store entrances, designated fire exits or emergency routes. If the fire alarm sounds, make the work safe, lower the platform if safe to do so and follow the store evacuation procedure.</w:t>
      </w:r>
    </w:p>
    <w:tbl>
      <w:tblPr>
        <w:tblW w:type="auto" w:w="0"/>
        <w:tblLayout w:type="fixed"/>
        <w:tblLook w:firstColumn="1" w:firstRow="1" w:lastColumn="0" w:lastRow="0" w:noHBand="0" w:noVBand="1" w:val="04A0"/>
      </w:tblPr>
      <w:tblGrid>
        <w:gridCol w:w="518"/>
        <w:gridCol w:w="9807"/>
      </w:tblGrid>
      <w:tr>
        <w:tc>
          <w:tcPr>
            <w:tcW w:type="dxa" w:w="518"/>
            <w:vAlign w:val="center"/>
            <w:shd w:fill="14A8E0" w:val="clear"/>
          </w:tcPr>
          <w:p>
            <w:pPr>
              <w:spacing w:after="0"/>
            </w:pPr>
            <w:r>
              <w:rPr>
                <w:b/>
                <w:color w:val="FFFFFF"/>
              </w:rPr>
            </w:r>
            <w:r>
              <w:rPr>
                <w:rFonts w:ascii="Arial" w:hAnsi="Arial"/>
                <w:b/>
                <w:color w:val="FFFFFF"/>
                <w:sz w:val="16"/>
              </w:rPr>
              <w:t>20</w:t>
            </w:r>
          </w:p>
        </w:tc>
        <w:tc>
          <w:tcPr>
            <w:tcW w:type="dxa" w:w="9807"/>
            <w:vAlign w:val="center"/>
          </w:tcPr>
          <w:p>
            <w:pPr>
              <w:spacing w:after="0"/>
            </w:pPr>
            <w:r>
              <w:rPr>
                <w:b/>
                <w:color w:val="14A8E0"/>
              </w:rPr>
            </w:r>
            <w:r>
              <w:rPr>
                <w:rFonts w:ascii="Arial" w:hAnsi="Arial"/>
                <w:b/>
                <w:color w:val="14A8E0"/>
                <w:sz w:val="18"/>
              </w:rPr>
              <w:t>Supervision</w:t>
            </w:r>
          </w:p>
        </w:tc>
      </w:tr>
    </w:tbl>
    <w:p>
      <w:pPr>
        <w:spacing w:after="140"/>
        <w:ind w:left="504"/>
      </w:pPr>
      <w:r>
        <w:t>Paul Highfield will supervise the works and ensure the RAMS remains suitable for actual site conditions. Any material change in scope, access method or façade condition requires review before work continues.</w:t>
      </w:r>
    </w:p>
    <w:p>
      <w:r>
        <w:br w:type="page"/>
      </w:r>
    </w:p>
    <w:tbl>
      <w:tblPr>
        <w:tblW w:type="auto" w:w="0"/>
        <w:tblLayout w:type="fixed"/>
        <w:tblLook w:firstColumn="1" w:firstRow="1" w:lastColumn="0" w:lastRow="0" w:noHBand="0" w:noVBand="1" w:val="04A0"/>
      </w:tblPr>
      <w:tblGrid>
        <w:gridCol w:w="101"/>
        <w:gridCol w:w="10080"/>
      </w:tblGrid>
      <w:tr>
        <w:tc>
          <w:tcPr>
            <w:tcW w:type="dxa" w:w="101"/>
            <w:shd w:fill="F2A900"/>
          </w:tcPr>
          <w:p/>
        </w:tc>
        <w:tc>
          <w:tcPr>
            <w:tcW w:type="dxa" w:w="5162"/>
            <w:vAlign w:val="center"/>
          </w:tcPr>
          <w:p>
            <w:pPr>
              <w:spacing w:after="0"/>
            </w:pPr>
            <w:r/>
            <w:r>
              <w:rPr>
                <w:rFonts w:ascii="Arial" w:hAnsi="Arial"/>
                <w:b/>
                <w:color w:val="000000"/>
                <w:sz w:val="28"/>
              </w:rPr>
              <w:t>Emergency Contacts</w:t>
            </w:r>
          </w:p>
        </w:tc>
      </w:tr>
    </w:tbl>
    <w:p>
      <w:pPr>
        <w:spacing w:after="0"/>
      </w:pPr>
    </w:p>
    <w:tbl>
      <w:tblPr>
        <w:tblStyle w:val="TableGrid"/>
        <w:tblW w:type="auto" w:w="0"/>
        <w:tblLook w:firstColumn="1" w:firstRow="1" w:lastColumn="0" w:lastRow="0" w:noHBand="0" w:noVBand="1" w:val="04A0"/>
      </w:tblPr>
      <w:tblGrid>
        <w:gridCol w:w="5162"/>
        <w:gridCol w:w="5162"/>
      </w:tblGrid>
      <w:tr>
        <w:tc>
          <w:tcPr>
            <w:tcW w:type="dxa" w:w="5162"/>
            <w:shd w:fill="EAF6FC"/>
          </w:tcPr>
          <w:p>
            <w:r/>
            <w:r>
              <w:rPr>
                <w:b/>
                <w:color w:val="14A8E0"/>
                <w:sz w:val="15"/>
              </w:rPr>
              <w:t>Site Emergency Contact</w:t>
              <w:br/>
            </w:r>
            <w:r>
              <w:rPr>
                <w:color w:val="263348"/>
                <w:sz w:val="17"/>
              </w:rPr>
              <w:t>Paul Highfield</w:t>
            </w:r>
          </w:p>
        </w:tc>
        <w:tc>
          <w:tcPr>
            <w:tcW w:type="dxa" w:w="5162"/>
            <w:shd w:fill="EAF6FC"/>
          </w:tcPr>
          <w:p>
            <w:r/>
            <w:r>
              <w:rPr>
                <w:b/>
                <w:color w:val="14A8E0"/>
                <w:sz w:val="15"/>
              </w:rPr>
              <w:t>First Aider</w:t>
              <w:br/>
            </w:r>
            <w:r>
              <w:rPr>
                <w:color w:val="263348"/>
                <w:sz w:val="17"/>
              </w:rPr>
              <w:t>Olly Ogden</w:t>
            </w:r>
          </w:p>
        </w:tc>
      </w:tr>
      <w:tr>
        <w:tc>
          <w:tcPr>
            <w:tcW w:type="dxa" w:w="5162"/>
            <w:shd w:fill="EAF6FC"/>
          </w:tcPr>
          <w:p>
            <w:r/>
            <w:r>
              <w:rPr>
                <w:b/>
                <w:color w:val="14A8E0"/>
                <w:sz w:val="15"/>
              </w:rPr>
              <w:t>Works Manager</w:t>
              <w:br/>
            </w:r>
            <w:r>
              <w:rPr>
                <w:color w:val="263348"/>
                <w:sz w:val="17"/>
              </w:rPr>
              <w:t>Paul Highfield</w:t>
            </w:r>
          </w:p>
        </w:tc>
        <w:tc>
          <w:tcPr>
            <w:tcW w:type="dxa" w:w="5162"/>
            <w:shd w:fill="EAF6FC"/>
          </w:tcPr>
          <w:p>
            <w:r/>
            <w:r>
              <w:rPr>
                <w:b/>
                <w:color w:val="14A8E0"/>
                <w:sz w:val="15"/>
              </w:rPr>
              <w:t>Nearest Hospital</w:t>
              <w:br/>
            </w:r>
            <w:r>
              <w:rPr>
                <w:color w:val="263348"/>
                <w:sz w:val="17"/>
              </w:rPr>
              <w:t>Scarborough Hospital Emergency Department</w:t>
              <w:br/>
              <w:t>Woodlands Drive, Scarborough, YO12 6QL</w:t>
            </w:r>
          </w:p>
        </w:tc>
      </w:tr>
    </w:tbl>
    <w:tbl>
      <w:tblPr>
        <w:tblW w:type="auto" w:w="0"/>
        <w:tblLayout w:type="fixed"/>
        <w:tblLook w:firstColumn="1" w:firstRow="1" w:lastColumn="0" w:lastRow="0" w:noHBand="0" w:noVBand="1" w:val="04A0"/>
      </w:tblPr>
      <w:tblGrid>
        <w:gridCol w:w="101"/>
        <w:gridCol w:w="10080"/>
      </w:tblGrid>
      <w:tr>
        <w:tc>
          <w:tcPr>
            <w:tcW w:type="dxa" w:w="101"/>
            <w:shd w:fill="E31B23"/>
          </w:tcPr>
          <w:p/>
        </w:tc>
        <w:tc>
          <w:tcPr>
            <w:tcW w:type="dxa" w:w="5162"/>
            <w:vAlign w:val="center"/>
          </w:tcPr>
          <w:p>
            <w:pPr>
              <w:spacing w:after="0"/>
            </w:pPr>
            <w:r/>
            <w:r>
              <w:rPr>
                <w:rFonts w:ascii="Arial" w:hAnsi="Arial"/>
                <w:b/>
                <w:color w:val="000000"/>
                <w:sz w:val="28"/>
              </w:rPr>
              <w:t>Emergency Procedures</w:t>
            </w:r>
          </w:p>
        </w:tc>
      </w:tr>
    </w:tbl>
    <w:p>
      <w:pPr>
        <w:spacing w:after="0"/>
      </w:pPr>
    </w:p>
    <w:tbl>
      <w:tblPr>
        <w:tblW w:type="auto" w:w="0"/>
        <w:tblLook w:firstColumn="1" w:firstRow="1" w:lastColumn="0" w:lastRow="0" w:noHBand="0" w:noVBand="1" w:val="04A0"/>
      </w:tblPr>
      <w:tblGrid>
        <w:gridCol w:w="10325"/>
      </w:tblGrid>
      <w:tr>
        <w:tc>
          <w:tcPr>
            <w:tcW w:type="dxa" w:w="10325"/>
            <w:shd w:fill="FDECEC"/>
            <w:vAlign w:val="center"/>
          </w:tcPr>
          <w:p>
            <w:pPr>
              <w:spacing w:after="0"/>
            </w:pPr>
            <w:r>
              <w:rPr>
                <w:rFonts w:ascii="Arial" w:hAnsi="Arial"/>
                <w:b/>
                <w:color w:val="000000"/>
                <w:sz w:val="16"/>
              </w:rPr>
              <w:t>Fire</w:t>
            </w:r>
            <w:r>
              <w:rPr>
                <w:rFonts w:ascii="Arial" w:hAnsi="Arial"/>
                <w:b w:val="0"/>
                <w:color w:val="263348"/>
                <w:sz w:val="16"/>
              </w:rPr>
              <w:br/>
              <w:t>Stop work and follow the Waterstones store fire procedure. If safe, lower the MEWP and leave it secure. Evacuate by the instructed route and proceed to the store's designated assembly point. Call 999 where required.</w:t>
            </w:r>
          </w:p>
        </w:tc>
      </w:tr>
    </w:tbl>
    <w:p>
      <w:pPr>
        <w:spacing w:after="0"/>
      </w:pPr>
    </w:p>
    <w:tbl>
      <w:tblPr>
        <w:tblW w:type="auto" w:w="0"/>
        <w:tblLook w:firstColumn="1" w:firstRow="1" w:lastColumn="0" w:lastRow="0" w:noHBand="0" w:noVBand="1" w:val="04A0"/>
      </w:tblPr>
      <w:tblGrid>
        <w:gridCol w:w="10325"/>
      </w:tblGrid>
      <w:tr>
        <w:tc>
          <w:tcPr>
            <w:tcW w:type="dxa" w:w="10325"/>
            <w:shd w:fill="FDECEC"/>
            <w:vAlign w:val="center"/>
          </w:tcPr>
          <w:p>
            <w:pPr>
              <w:spacing w:after="0"/>
            </w:pPr>
            <w:r>
              <w:rPr>
                <w:rFonts w:ascii="Arial" w:hAnsi="Arial"/>
                <w:b/>
                <w:color w:val="000000"/>
                <w:sz w:val="16"/>
              </w:rPr>
              <w:t>Accident</w:t>
            </w:r>
            <w:r>
              <w:rPr>
                <w:rFonts w:ascii="Arial" w:hAnsi="Arial"/>
                <w:b w:val="0"/>
                <w:color w:val="263348"/>
                <w:sz w:val="16"/>
              </w:rPr>
              <w:br/>
              <w:t>Stop work immediately and make the area safe. First aid is to be administered by Olly Ogden. For serious injury call 999. The nearest A&amp;E is Scarborough Hospital Emergency Department, Woodlands Drive, Scarborough, YO12 6QL. Record and report the incident in accordance with CWP procedures.</w:t>
            </w:r>
          </w:p>
        </w:tc>
      </w:tr>
    </w:tbl>
    <w:p>
      <w:pPr>
        <w:spacing w:after="0"/>
      </w:pPr>
    </w:p>
    <w:tbl>
      <w:tblPr>
        <w:tblW w:type="auto" w:w="0"/>
        <w:tblLook w:firstColumn="1" w:firstRow="1" w:lastColumn="0" w:lastRow="0" w:noHBand="0" w:noVBand="1" w:val="04A0"/>
      </w:tblPr>
      <w:tblGrid>
        <w:gridCol w:w="10325"/>
      </w:tblGrid>
      <w:tr>
        <w:tc>
          <w:tcPr>
            <w:tcW w:type="dxa" w:w="10325"/>
            <w:shd w:fill="FDECEC"/>
            <w:vAlign w:val="center"/>
          </w:tcPr>
          <w:p>
            <w:pPr>
              <w:spacing w:after="0"/>
            </w:pPr>
            <w:r>
              <w:rPr>
                <w:rFonts w:ascii="Arial" w:hAnsi="Arial"/>
                <w:b/>
                <w:color w:val="000000"/>
                <w:sz w:val="16"/>
              </w:rPr>
              <w:t>MEWP Emergency / Entrapment</w:t>
            </w:r>
            <w:r>
              <w:rPr>
                <w:rFonts w:ascii="Arial" w:hAnsi="Arial"/>
                <w:b w:val="0"/>
                <w:color w:val="263348"/>
                <w:sz w:val="16"/>
              </w:rPr>
              <w:br/>
              <w:t>Use the MEWP emergency lowering procedure. The ground operative must be familiar with the emergency controls before work starts. Call emergency services if there is injury, entrapment or the platform cannot be safely recovered.</w:t>
            </w:r>
          </w:p>
        </w:tc>
      </w:tr>
    </w:tbl>
    <w:p>
      <w:pPr>
        <w:spacing w:after="0"/>
      </w:pPr>
    </w:p>
    <w:tbl>
      <w:tblPr>
        <w:tblW w:type="auto" w:w="0"/>
        <w:tblLook w:firstColumn="1" w:firstRow="1" w:lastColumn="0" w:lastRow="0" w:noHBand="0" w:noVBand="1" w:val="04A0"/>
      </w:tblPr>
      <w:tblGrid>
        <w:gridCol w:w="10325"/>
      </w:tblGrid>
      <w:tr>
        <w:tc>
          <w:tcPr>
            <w:tcW w:type="dxa" w:w="10325"/>
            <w:shd w:fill="FDECEC"/>
            <w:vAlign w:val="center"/>
          </w:tcPr>
          <w:p>
            <w:pPr>
              <w:spacing w:after="0"/>
            </w:pPr>
            <w:r>
              <w:rPr>
                <w:rFonts w:ascii="Arial" w:hAnsi="Arial"/>
                <w:b/>
                <w:color w:val="000000"/>
                <w:sz w:val="16"/>
              </w:rPr>
              <w:t>Falling / Unstable Masonry</w:t>
            </w:r>
            <w:r>
              <w:rPr>
                <w:rFonts w:ascii="Arial" w:hAnsi="Arial"/>
                <w:b w:val="0"/>
                <w:color w:val="263348"/>
                <w:sz w:val="16"/>
              </w:rPr>
              <w:br/>
              <w:t>Stop work, keep everyone clear and extend the exclusion zone as necessary. Do not recommence until the façade condition has been assessed and a safe method agreed.</w:t>
            </w:r>
          </w:p>
        </w:tc>
      </w:tr>
    </w:tbl>
    <w:p>
      <w:pPr>
        <w:spacing w:after="0"/>
      </w:pPr>
    </w:p>
    <w:tbl>
      <w:tblPr>
        <w:tblW w:type="auto" w:w="0"/>
        <w:tblLook w:firstColumn="1" w:firstRow="1" w:lastColumn="0" w:lastRow="0" w:noHBand="0" w:noVBand="1" w:val="04A0"/>
      </w:tblPr>
      <w:tblGrid>
        <w:gridCol w:w="10325"/>
      </w:tblGrid>
      <w:tr>
        <w:tc>
          <w:tcPr>
            <w:tcW w:type="dxa" w:w="10325"/>
            <w:shd w:fill="FDECEC"/>
            <w:vAlign w:val="center"/>
          </w:tcPr>
          <w:p>
            <w:pPr>
              <w:spacing w:after="0"/>
            </w:pPr>
            <w:r>
              <w:rPr>
                <w:rFonts w:ascii="Arial" w:hAnsi="Arial"/>
                <w:b/>
                <w:color w:val="000000"/>
                <w:sz w:val="16"/>
              </w:rPr>
              <w:t>Services Damage</w:t>
            </w:r>
            <w:r>
              <w:rPr>
                <w:rFonts w:ascii="Arial" w:hAnsi="Arial"/>
                <w:b w:val="0"/>
                <w:color w:val="263348"/>
                <w:sz w:val="16"/>
              </w:rPr>
              <w:br/>
              <w:t>If any electrical or other service is damaged, stop work, keep people clear and isolate the service if safe and competent to do so. Inform the store/client immediately and do not attempt unauthorised repairs.</w:t>
            </w:r>
          </w:p>
        </w:tc>
      </w:tr>
    </w:tbl>
    <w:p>
      <w:pPr>
        <w:spacing w:after="0"/>
      </w:pPr>
    </w:p>
    <w:p>
      <w:r>
        <w:br w:type="page"/>
      </w:r>
    </w:p>
    <w:tbl>
      <w:tblPr>
        <w:tblW w:type="auto" w:w="0"/>
        <w:tblLayout w:type="fixed"/>
        <w:tblLook w:firstColumn="1" w:firstRow="1" w:lastColumn="0" w:lastRow="0" w:noHBand="0" w:noVBand="1" w:val="04A0"/>
      </w:tblPr>
      <w:tblGrid>
        <w:gridCol w:w="101"/>
        <w:gridCol w:w="10080"/>
      </w:tblGrid>
      <w:tr>
        <w:tc>
          <w:tcPr>
            <w:tcW w:type="dxa" w:w="101"/>
            <w:shd w:fill="7B2CBF"/>
          </w:tcPr>
          <w:p/>
        </w:tc>
        <w:tc>
          <w:tcPr>
            <w:tcW w:type="dxa" w:w="5162"/>
            <w:vAlign w:val="center"/>
          </w:tcPr>
          <w:p>
            <w:pPr>
              <w:spacing w:after="0"/>
            </w:pPr>
            <w:r/>
            <w:r>
              <w:rPr>
                <w:rFonts w:ascii="Arial" w:hAnsi="Arial"/>
                <w:b/>
                <w:color w:val="000000"/>
                <w:sz w:val="28"/>
              </w:rPr>
              <w:t>Document Approval and Sign-Off</w:t>
            </w:r>
          </w:p>
        </w:tc>
      </w:tr>
    </w:tbl>
    <w:p>
      <w:pPr>
        <w:spacing w:after="0"/>
      </w:pPr>
    </w:p>
    <w:p>
      <w:r>
        <w:rPr>
          <w:b/>
        </w:rPr>
        <w:t>Prepared by</w:t>
      </w:r>
    </w:p>
    <w:p>
      <w:r>
        <w:t>Mark Cowling</w:t>
      </w:r>
    </w:p>
    <w:p>
      <w:r>
        <w:rPr>
          <w:b/>
        </w:rPr>
        <w:t>Additional Signatures</w:t>
      </w:r>
    </w:p>
    <w:tbl>
      <w:tblPr>
        <w:tblStyle w:val="TableGrid"/>
        <w:tblW w:type="auto" w:w="0"/>
        <w:tblLook w:firstColumn="1" w:firstRow="1" w:lastColumn="0" w:lastRow="0" w:noHBand="0" w:noVBand="1" w:val="04A0"/>
      </w:tblPr>
      <w:tblGrid>
        <w:gridCol w:w="3442"/>
        <w:gridCol w:w="3442"/>
        <w:gridCol w:w="3442"/>
      </w:tblGrid>
      <w:tr>
        <w:tc>
          <w:tcPr>
            <w:tcW w:type="dxa" w:w="3442"/>
            <w:vAlign w:val="center"/>
            <w:shd w:fill="F4F4F4"/>
          </w:tcPr>
          <w:p>
            <w:pPr>
              <w:spacing w:after="0"/>
            </w:pPr>
            <w:r/>
            <w:r>
              <w:rPr>
                <w:rFonts w:ascii="Arial" w:hAnsi="Arial"/>
                <w:b/>
                <w:color w:val="000000"/>
                <w:sz w:val="16"/>
              </w:rPr>
              <w:t>Name (Print)</w:t>
            </w:r>
          </w:p>
        </w:tc>
        <w:tc>
          <w:tcPr>
            <w:tcW w:type="dxa" w:w="3442"/>
            <w:vAlign w:val="center"/>
            <w:shd w:fill="F4F4F4"/>
          </w:tcPr>
          <w:p>
            <w:pPr>
              <w:spacing w:after="0"/>
            </w:pPr>
            <w:r/>
            <w:r>
              <w:rPr>
                <w:rFonts w:ascii="Arial" w:hAnsi="Arial"/>
                <w:b/>
                <w:color w:val="000000"/>
                <w:sz w:val="16"/>
              </w:rPr>
              <w:t>Signature</w:t>
            </w:r>
          </w:p>
        </w:tc>
        <w:tc>
          <w:tcPr>
            <w:tcW w:type="dxa" w:w="3442"/>
            <w:vAlign w:val="center"/>
            <w:shd w:fill="F4F4F4"/>
          </w:tcPr>
          <w:p>
            <w:pPr>
              <w:spacing w:after="0"/>
            </w:pPr>
            <w:r/>
            <w:r>
              <w:rPr>
                <w:rFonts w:ascii="Arial" w:hAnsi="Arial"/>
                <w:b/>
                <w:color w:val="000000"/>
                <w:sz w:val="16"/>
              </w:rPr>
              <w:t>Date</w:t>
            </w:r>
          </w:p>
        </w:tc>
      </w:tr>
      <w:tr>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r>
      <w:tr>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r>
      <w:tr>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r>
      <w:tr>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r>
      <w:tr>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r>
      <w:tr>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c>
          <w:tcPr>
            <w:tcW w:type="dxa" w:w="3442"/>
            <w:vAlign w:val="center"/>
          </w:tcPr>
          <w:p>
            <w:pPr>
              <w:spacing w:after="0"/>
            </w:pPr>
            <w:r/>
            <w:r>
              <w:rPr>
                <w:rFonts w:ascii="Arial" w:hAnsi="Arial"/>
                <w:b w:val="0"/>
                <w:color w:val="263348"/>
                <w:sz w:val="16"/>
              </w:rPr>
              <w:t xml:space="preserve"> </w:t>
              <w:br/>
              <w:br/>
            </w:r>
          </w:p>
        </w:tc>
      </w:tr>
    </w:tbl>
    <w:p/>
    <w:p>
      <w:r>
        <w:t>By signing this document, I confirm that I have read and understood the Risk Assessment and Method Statement. I agree to follow all safety procedures and control measures outlined in this document. I understand my responsibilities and will report any hazards or concerns to my supervisor immediately.</w:t>
      </w:r>
    </w:p>
    <w:sectPr w:rsidR="00FC693F" w:rsidRPr="0006063C" w:rsidSect="00034616">
      <w:footerReference w:type="default" r:id="rId9"/>
      <w:headerReference w:type="first" r:id="rId11"/>
      <w:footerReference w:type="first" r:id="rId12"/>
      <w:headerReference w:type="default" r:id="rId14"/>
      <w:pgSz w:w="11909" w:h="16834"/>
      <w:pgMar w:top="792" w:right="792" w:bottom="792" w:left="79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color w:val="65758B"/>
        <w:sz w:val="13"/>
      </w:rPr>
      <w:t>CW Projects Integrated Services Limited • 46A Commercial Street, Rothwell, Leeds, LS26 0AW • 01132821001</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color w:val="65758B"/>
        <w:sz w:val="13"/>
      </w:rPr>
      <w:t>CW Projects Integrated Services Limited • 46A Commercial Street, Rothwell, Leeds, LS26 0AW • 01132821001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pPr>
    <w:r>
      <w:pict>
        <v:shape id="CWP_Cover_Background" type="#_x0000_t75" style="position:absolute;left:0;top:0;width:595.3pt;height:841.9pt;z-index:-251654144;mso-position-horizontal-relative:page;mso-position-vertical-relative:page;mso-wrap-distance-left:0;mso-wrap-distance-top:0;mso-wrap-distance-right:0;mso-wrap-distance-bottom:0" stroked="f" filled="f">
          <v:imagedata r:id="rId1" o:title=""/>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pPr>
    <w:r>
      <w:pict>
        <v:shape id="CWP_Page_Watermark" type="#_x0000_t75" style="position:absolute;width:417.6pt;height:226.0pt;z-index:-251654144;mso-position-horizontal:center;mso-position-horizontal-relative:page;mso-position-vertical:center;mso-position-vertical-relative:page" stroked="f" filled="f">
          <v:imagedata r:id="rId1" o:titl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63348"/>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image" Target="media/image3.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